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EA0" w:rsidRDefault="008D6EA0" w:rsidP="008401A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85 Frac. II</w:t>
      </w:r>
    </w:p>
    <w:p w:rsidR="008401A8" w:rsidRPr="008401A8" w:rsidRDefault="008401A8" w:rsidP="008401A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8401A8">
        <w:rPr>
          <w:rFonts w:ascii="Calibri" w:eastAsia="Times New Roman" w:hAnsi="Calibri" w:cs="Times New Roman"/>
          <w:color w:val="000000"/>
          <w:lang w:eastAsia="es-MX"/>
        </w:rPr>
        <w:t>Este sujeto obligado si está facultado para generar la</w:t>
      </w:r>
      <w:r w:rsidR="008D6EA0">
        <w:rPr>
          <w:rFonts w:ascii="Calibri" w:eastAsia="Times New Roman" w:hAnsi="Calibri" w:cs="Times New Roman"/>
          <w:color w:val="000000"/>
          <w:lang w:val="es-419" w:eastAsia="es-MX"/>
        </w:rPr>
        <w:t xml:space="preserve">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requerida, lo anterior con fundamento en el Art. 19 de la Ley de transparencia y acceso a la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pública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del Estado de San Luis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Potosí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, sin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embargo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no se genera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ya que no se ha presentado disposiciones administrativas.</w:t>
      </w:r>
    </w:p>
    <w:p w:rsidR="00B33A0F" w:rsidRPr="008D6EA0" w:rsidRDefault="008D6EA0">
      <w:pPr>
        <w:rPr>
          <w:lang w:val="es-419"/>
        </w:rPr>
      </w:pPr>
      <w:r>
        <w:rPr>
          <w:lang w:val="es-419"/>
        </w:rPr>
        <w:t>OCTUBRE 2021</w:t>
      </w:r>
      <w:bookmarkStart w:id="0" w:name="_GoBack"/>
      <w:bookmarkEnd w:id="0"/>
    </w:p>
    <w:p w:rsidR="008401A8" w:rsidRDefault="008401A8"/>
    <w:sectPr w:rsidR="008401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A8"/>
    <w:rsid w:val="008401A8"/>
    <w:rsid w:val="008D6EA0"/>
    <w:rsid w:val="00B3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A3B74-1F71-42F3-91A8-E2D08BC92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4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2021-11-11T16:06:00Z</dcterms:created>
  <dcterms:modified xsi:type="dcterms:W3CDTF">2021-11-11T16:21:00Z</dcterms:modified>
</cp:coreProperties>
</file>