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311" w:rsidRDefault="00D82D1E" w:rsidP="00D82D1E">
      <w:pPr>
        <w:jc w:val="right"/>
      </w:pPr>
      <w:r>
        <w:t>28/FEBRERO/2025</w:t>
      </w:r>
    </w:p>
    <w:p w:rsidR="00D82D1E" w:rsidRDefault="00D82D1E" w:rsidP="00D82D1E">
      <w:pPr>
        <w:jc w:val="right"/>
      </w:pPr>
    </w:p>
    <w:p w:rsidR="00D82D1E" w:rsidRDefault="00D82D1E" w:rsidP="00D82D1E">
      <w:pPr>
        <w:jc w:val="right"/>
      </w:pPr>
    </w:p>
    <w:p w:rsidR="00D82D1E" w:rsidRPr="00D82D1E" w:rsidRDefault="00D82D1E" w:rsidP="00D82D1E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En el </w:t>
      </w:r>
      <w:r w:rsidRPr="00D82D1E">
        <w:rPr>
          <w:sz w:val="28"/>
        </w:rPr>
        <w:t xml:space="preserve">artículo 84 fracción xxxiv, </w:t>
      </w:r>
      <w:r w:rsidRPr="00D82D1E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la información, relativa a los resultados de los procedimientos de licitación pública e invitación restringida, así como los equivalentes que realizan en términos de la normatividad correspondiente. la información a registrarse, es la que acredite que ha concluido el procedimiento, es decir cuando ya se tiene identificado al ganador, o en su caso si se declaró desierta.</w:t>
      </w:r>
    </w:p>
    <w:p w:rsidR="00D82D1E" w:rsidRPr="00D82D1E" w:rsidRDefault="00D82D1E" w:rsidP="00D82D1E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D82D1E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no genera información, debido a que el sistema muni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cipal para el desarrollo integral</w:t>
      </w:r>
      <w:r w:rsidRPr="00D82D1E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de la familia no lleva acabo obra co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mo tal ni licitaciones públicas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.</w:t>
      </w:r>
    </w:p>
    <w:p w:rsidR="00D82D1E" w:rsidRDefault="00D82D1E" w:rsidP="00D82D1E">
      <w:pPr>
        <w:jc w:val="both"/>
      </w:pPr>
    </w:p>
    <w:sectPr w:rsidR="00D82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D1E"/>
    <w:rsid w:val="00D20311"/>
    <w:rsid w:val="00D8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0AD78"/>
  <w15:chartTrackingRefBased/>
  <w15:docId w15:val="{4EA1331A-EDC3-45D2-A194-E086F4EF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1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2025-03-10T16:41:00Z</dcterms:created>
  <dcterms:modified xsi:type="dcterms:W3CDTF">2025-03-10T16:46:00Z</dcterms:modified>
</cp:coreProperties>
</file>