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0C53" w:rsidRDefault="00CD0C53" w:rsidP="00CD0C53"/>
    <w:p w:rsidR="00CD0C53" w:rsidRPr="00CD0C53" w:rsidRDefault="00CD0C53" w:rsidP="00CD0C53">
      <w:pPr>
        <w:jc w:val="both"/>
        <w:rPr>
          <w:rFonts w:ascii="Arial" w:hAnsi="Arial" w:cs="Arial"/>
          <w:sz w:val="28"/>
          <w:szCs w:val="28"/>
        </w:rPr>
      </w:pPr>
      <w:r w:rsidRPr="00CD0C53">
        <w:rPr>
          <w:rFonts w:ascii="Arial" w:hAnsi="Arial" w:cs="Arial"/>
          <w:sz w:val="28"/>
          <w:szCs w:val="28"/>
        </w:rPr>
        <w:t>D</w:t>
      </w:r>
      <w:r w:rsidRPr="00CD0C53">
        <w:rPr>
          <w:rFonts w:ascii="Arial" w:hAnsi="Arial" w:cs="Arial"/>
          <w:sz w:val="28"/>
          <w:szCs w:val="28"/>
        </w:rPr>
        <w:t xml:space="preserve">ebido a que el sujeto obligado se encuentra en proceso </w:t>
      </w:r>
      <w:r>
        <w:rPr>
          <w:rFonts w:ascii="Arial" w:hAnsi="Arial" w:cs="Arial"/>
          <w:sz w:val="28"/>
          <w:szCs w:val="28"/>
        </w:rPr>
        <w:t xml:space="preserve">del cumplimiento de los 20 días hábiles para subsanar las inconsistencias detectadas en la verificación vinculante, no se genera la información en el periodo que se informa, </w:t>
      </w:r>
      <w:r w:rsidRPr="00CD0C53">
        <w:rPr>
          <w:rFonts w:ascii="Arial" w:hAnsi="Arial" w:cs="Arial"/>
          <w:sz w:val="28"/>
          <w:szCs w:val="28"/>
        </w:rPr>
        <w:t xml:space="preserve">de acuerdo </w:t>
      </w:r>
      <w:r>
        <w:rPr>
          <w:rFonts w:ascii="Arial" w:hAnsi="Arial" w:cs="Arial"/>
          <w:sz w:val="28"/>
          <w:szCs w:val="28"/>
        </w:rPr>
        <w:t xml:space="preserve">a lo </w:t>
      </w:r>
      <w:r w:rsidRPr="00CD0C53">
        <w:rPr>
          <w:rFonts w:ascii="Arial" w:hAnsi="Arial" w:cs="Arial"/>
          <w:sz w:val="28"/>
          <w:szCs w:val="28"/>
        </w:rPr>
        <w:t xml:space="preserve">estipulado en los artículos 97, 98, 99, 100 y 101 de la Ley de Transparencia del Estado. </w:t>
      </w:r>
    </w:p>
    <w:p w:rsidR="009E45F2" w:rsidRPr="00CD0C53" w:rsidRDefault="00CD0C53">
      <w:pPr>
        <w:rPr>
          <w:rFonts w:ascii="Arial" w:hAnsi="Arial" w:cs="Arial"/>
          <w:sz w:val="28"/>
          <w:szCs w:val="28"/>
        </w:rPr>
      </w:pPr>
      <w:bookmarkStart w:id="0" w:name="_GoBack"/>
      <w:bookmarkEnd w:id="0"/>
    </w:p>
    <w:sectPr w:rsidR="009E45F2" w:rsidRPr="00CD0C5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0C53"/>
    <w:rsid w:val="004013A4"/>
    <w:rsid w:val="004744ED"/>
    <w:rsid w:val="00CD0C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BAF3F3"/>
  <w15:chartTrackingRefBased/>
  <w15:docId w15:val="{5D1DEF19-C7BA-4DAE-B095-527D0AB200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D0C5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52</Words>
  <Characters>286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2025-04-03T19:40:00Z</dcterms:created>
  <dcterms:modified xsi:type="dcterms:W3CDTF">2025-04-03T19:42:00Z</dcterms:modified>
</cp:coreProperties>
</file>